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</w:p>
    <w:p>
      <w:pPr>
        <w:spacing w:before="253" w:line="222" w:lineRule="auto"/>
        <w:ind w:left="1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住院医师规范化培训晨间报告评分表</w:t>
      </w:r>
    </w:p>
    <w:p>
      <w:pPr>
        <w:spacing w:before="263" w:line="221" w:lineRule="auto"/>
        <w:ind w:left="21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（督导专家/同行评议使用）</w:t>
      </w: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spacing w:before="65" w:line="225" w:lineRule="auto"/>
        <w:ind w:left="27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6"/>
          <w:sz w:val="20"/>
          <w:szCs w:val="20"/>
        </w:rPr>
        <w:t>培训基地:</w:t>
      </w:r>
      <w:r>
        <w:rPr>
          <w:rFonts w:ascii="仿宋" w:hAnsi="仿宋" w:eastAsia="仿宋" w:cs="仿宋"/>
          <w:spacing w:val="1"/>
          <w:sz w:val="20"/>
          <w:szCs w:val="20"/>
        </w:rPr>
        <w:t xml:space="preserve">                      </w:t>
      </w:r>
      <w:r>
        <w:rPr>
          <w:rFonts w:ascii="仿宋" w:hAnsi="仿宋" w:eastAsia="仿宋" w:cs="仿宋"/>
          <w:spacing w:val="6"/>
          <w:sz w:val="20"/>
          <w:szCs w:val="20"/>
        </w:rPr>
        <w:t>专业基地/科室：</w:t>
      </w:r>
    </w:p>
    <w:p>
      <w:pPr>
        <w:spacing w:before="233" w:line="220" w:lineRule="auto"/>
        <w:ind w:left="3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6"/>
          <w:sz w:val="20"/>
          <w:szCs w:val="20"/>
        </w:rPr>
        <w:t>主持人：</w:t>
      </w:r>
      <w:r>
        <w:rPr>
          <w:rFonts w:ascii="仿宋" w:hAnsi="仿宋" w:eastAsia="仿宋" w:cs="仿宋"/>
          <w:sz w:val="20"/>
          <w:szCs w:val="20"/>
        </w:rPr>
        <w:t xml:space="preserve">               </w:t>
      </w:r>
      <w:r>
        <w:rPr>
          <w:position w:val="-4"/>
          <w:sz w:val="20"/>
          <w:szCs w:val="20"/>
        </w:rPr>
        <w:drawing>
          <wp:inline distT="0" distB="0" distL="0" distR="0">
            <wp:extent cx="95885" cy="13970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953" cy="13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6"/>
          <w:sz w:val="20"/>
          <w:szCs w:val="20"/>
        </w:rPr>
        <w:t>主任医师    □副主任医师</w:t>
      </w:r>
      <w:r>
        <w:rPr>
          <w:rFonts w:ascii="仿宋" w:hAnsi="仿宋" w:eastAsia="仿宋" w:cs="仿宋"/>
          <w:spacing w:val="29"/>
          <w:sz w:val="20"/>
          <w:szCs w:val="20"/>
        </w:rPr>
        <w:t xml:space="preserve">  </w:t>
      </w:r>
      <w:r>
        <w:rPr>
          <w:rFonts w:ascii="仿宋" w:hAnsi="仿宋" w:eastAsia="仿宋" w:cs="仿宋"/>
          <w:spacing w:val="6"/>
          <w:sz w:val="20"/>
          <w:szCs w:val="20"/>
        </w:rPr>
        <w:t>□主治医师</w:t>
      </w:r>
      <w:r>
        <w:rPr>
          <w:rFonts w:ascii="仿宋" w:hAnsi="仿宋" w:eastAsia="仿宋" w:cs="仿宋"/>
          <w:spacing w:val="16"/>
          <w:sz w:val="20"/>
          <w:szCs w:val="20"/>
        </w:rPr>
        <w:t xml:space="preserve">   </w:t>
      </w:r>
      <w:r>
        <w:rPr>
          <w:rFonts w:ascii="仿宋" w:hAnsi="仿宋" w:eastAsia="仿宋" w:cs="仿宋"/>
          <w:spacing w:val="6"/>
          <w:sz w:val="20"/>
          <w:szCs w:val="20"/>
        </w:rPr>
        <w:t>□住院总医师</w:t>
      </w:r>
    </w:p>
    <w:p>
      <w:pPr>
        <w:spacing w:before="239" w:line="222" w:lineRule="auto"/>
        <w:ind w:left="27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</w:rPr>
        <w:t>指导医师：</w:t>
      </w:r>
      <w:r>
        <w:rPr>
          <w:rFonts w:ascii="仿宋" w:hAnsi="仿宋" w:eastAsia="仿宋" w:cs="仿宋"/>
          <w:spacing w:val="2"/>
          <w:sz w:val="20"/>
          <w:szCs w:val="20"/>
        </w:rPr>
        <w:t xml:space="preserve">                      </w:t>
      </w:r>
      <w:r>
        <w:rPr>
          <w:position w:val="-4"/>
          <w:sz w:val="20"/>
          <w:szCs w:val="20"/>
        </w:rPr>
        <w:drawing>
          <wp:inline distT="0" distB="0" distL="0" distR="0">
            <wp:extent cx="95885" cy="13970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3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7"/>
          <w:sz w:val="20"/>
          <w:szCs w:val="20"/>
        </w:rPr>
        <w:t>主任医师</w:t>
      </w:r>
      <w:r>
        <w:rPr>
          <w:rFonts w:ascii="仿宋" w:hAnsi="仿宋" w:eastAsia="仿宋" w:cs="仿宋"/>
          <w:spacing w:val="14"/>
          <w:sz w:val="20"/>
          <w:szCs w:val="20"/>
        </w:rPr>
        <w:t xml:space="preserve">    </w:t>
      </w:r>
      <w:r>
        <w:rPr>
          <w:rFonts w:ascii="仿宋" w:hAnsi="仿宋" w:eastAsia="仿宋" w:cs="仿宋"/>
          <w:spacing w:val="7"/>
          <w:sz w:val="20"/>
          <w:szCs w:val="20"/>
        </w:rPr>
        <w:t>□副主任医师  □主治医师</w:t>
      </w:r>
    </w:p>
    <w:p>
      <w:pPr>
        <w:spacing w:before="239" w:line="225" w:lineRule="auto"/>
        <w:ind w:left="26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6"/>
          <w:sz w:val="20"/>
          <w:szCs w:val="20"/>
        </w:rPr>
        <w:t>病例报告住院医师：</w:t>
      </w:r>
      <w:r>
        <w:rPr>
          <w:rFonts w:ascii="仿宋" w:hAnsi="仿宋" w:eastAsia="仿宋" w:cs="仿宋"/>
          <w:spacing w:val="1"/>
          <w:sz w:val="20"/>
          <w:szCs w:val="20"/>
        </w:rPr>
        <w:t xml:space="preserve">              </w:t>
      </w:r>
      <w:r>
        <w:rPr>
          <w:rFonts w:ascii="仿宋" w:hAnsi="仿宋" w:eastAsia="仿宋" w:cs="仿宋"/>
          <w:spacing w:val="6"/>
          <w:sz w:val="20"/>
          <w:szCs w:val="20"/>
        </w:rPr>
        <w:t>□住培第一年  □住培第二年</w:t>
      </w:r>
      <w:r>
        <w:rPr>
          <w:rFonts w:ascii="仿宋" w:hAnsi="仿宋" w:eastAsia="仿宋" w:cs="仿宋"/>
          <w:spacing w:val="27"/>
          <w:sz w:val="20"/>
          <w:szCs w:val="20"/>
        </w:rPr>
        <w:t xml:space="preserve">  </w:t>
      </w:r>
      <w:r>
        <w:rPr>
          <w:rFonts w:ascii="仿宋" w:hAnsi="仿宋" w:eastAsia="仿宋" w:cs="仿宋"/>
          <w:spacing w:val="6"/>
          <w:sz w:val="20"/>
          <w:szCs w:val="20"/>
        </w:rPr>
        <w:t>□住培第三年</w:t>
      </w:r>
    </w:p>
    <w:p>
      <w:pPr>
        <w:spacing w:before="235" w:line="225" w:lineRule="auto"/>
        <w:ind w:left="25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6"/>
          <w:sz w:val="20"/>
          <w:szCs w:val="20"/>
        </w:rPr>
        <w:t>晨间报告主题：</w:t>
      </w:r>
    </w:p>
    <w:p>
      <w:pPr>
        <w:spacing w:before="233" w:line="226" w:lineRule="auto"/>
        <w:ind w:left="2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4"/>
          <w:sz w:val="20"/>
          <w:szCs w:val="20"/>
        </w:rPr>
        <w:t>教学时长：</w:t>
      </w:r>
      <w:r>
        <w:rPr>
          <w:rFonts w:ascii="仿宋" w:hAnsi="仿宋" w:eastAsia="仿宋" w:cs="仿宋"/>
          <w:spacing w:val="8"/>
          <w:sz w:val="20"/>
          <w:szCs w:val="20"/>
        </w:rPr>
        <w:t xml:space="preserve">         </w:t>
      </w:r>
      <w:r>
        <w:rPr>
          <w:rFonts w:ascii="仿宋" w:hAnsi="仿宋" w:eastAsia="仿宋" w:cs="仿宋"/>
          <w:spacing w:val="4"/>
          <w:sz w:val="20"/>
          <w:szCs w:val="20"/>
        </w:rPr>
        <w:t>分钟</w:t>
      </w:r>
      <w:r>
        <w:rPr>
          <w:rFonts w:ascii="仿宋" w:hAnsi="仿宋" w:eastAsia="仿宋" w:cs="仿宋"/>
          <w:spacing w:val="7"/>
          <w:sz w:val="20"/>
          <w:szCs w:val="20"/>
        </w:rPr>
        <w:t xml:space="preserve">        </w:t>
      </w:r>
      <w:r>
        <w:rPr>
          <w:rFonts w:ascii="仿宋" w:hAnsi="仿宋" w:eastAsia="仿宋" w:cs="仿宋"/>
          <w:spacing w:val="4"/>
          <w:sz w:val="20"/>
          <w:szCs w:val="20"/>
        </w:rPr>
        <w:t>参加人数：</w:t>
      </w:r>
    </w:p>
    <w:p>
      <w:pPr>
        <w:spacing w:line="100" w:lineRule="exact"/>
      </w:pPr>
    </w:p>
    <w:tbl>
      <w:tblPr>
        <w:tblStyle w:val="7"/>
        <w:tblW w:w="8288" w:type="dxa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3820"/>
        <w:gridCol w:w="850"/>
        <w:gridCol w:w="849"/>
        <w:gridCol w:w="1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64" w:line="225" w:lineRule="auto"/>
              <w:ind w:left="217"/>
            </w:pP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评价项目</w:t>
            </w:r>
          </w:p>
        </w:tc>
        <w:tc>
          <w:tcPr>
            <w:tcW w:w="3820" w:type="dxa"/>
            <w:vAlign w:val="top"/>
          </w:tcPr>
          <w:p>
            <w:pPr>
              <w:pStyle w:val="8"/>
              <w:spacing w:before="164" w:line="225" w:lineRule="auto"/>
              <w:ind w:left="1519"/>
            </w:pPr>
            <w:r>
              <w:rPr>
                <w:spacing w:val="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内容要求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64" w:line="225" w:lineRule="auto"/>
              <w:ind w:left="228"/>
            </w:pPr>
            <w:r>
              <w:rPr>
                <w:spacing w:val="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满分</w:t>
            </w:r>
          </w:p>
        </w:tc>
        <w:tc>
          <w:tcPr>
            <w:tcW w:w="849" w:type="dxa"/>
            <w:vAlign w:val="top"/>
          </w:tcPr>
          <w:p>
            <w:pPr>
              <w:pStyle w:val="8"/>
              <w:spacing w:before="164" w:line="225" w:lineRule="auto"/>
              <w:ind w:left="222"/>
            </w:pP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  <w:tc>
          <w:tcPr>
            <w:tcW w:w="1493" w:type="dxa"/>
            <w:vAlign w:val="top"/>
          </w:tcPr>
          <w:p>
            <w:pPr>
              <w:pStyle w:val="8"/>
              <w:spacing w:before="163" w:line="226" w:lineRule="auto"/>
              <w:ind w:left="333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扣分原因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76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2" w:lineRule="auto"/>
              <w:ind w:left="189" w:right="194" w:firstLine="34"/>
            </w:pPr>
            <w:r>
              <w:rPr>
                <w:spacing w:val="6"/>
              </w:rPr>
              <w:t>准备阶段</w:t>
            </w:r>
            <w:r>
              <w:t xml:space="preserve"> </w:t>
            </w:r>
            <w:r>
              <w:rPr>
                <w:spacing w:val="3"/>
              </w:rPr>
              <w:t>（10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分）</w:t>
            </w:r>
          </w:p>
        </w:tc>
        <w:tc>
          <w:tcPr>
            <w:tcW w:w="3820" w:type="dxa"/>
            <w:vAlign w:val="top"/>
          </w:tcPr>
          <w:p>
            <w:pPr>
              <w:pStyle w:val="8"/>
              <w:spacing w:before="78" w:line="281" w:lineRule="auto"/>
              <w:ind w:left="328" w:right="141" w:hanging="207"/>
            </w:pPr>
            <w:r>
              <w:rPr>
                <w:spacing w:val="8"/>
              </w:rPr>
              <w:t>1.教学场所的环境和设施符合要求，教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学活动组织安排有序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91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>
            <w:pPr>
              <w:pStyle w:val="8"/>
              <w:spacing w:before="79" w:line="280" w:lineRule="auto"/>
              <w:ind w:left="319" w:right="141" w:hanging="203"/>
            </w:pPr>
            <w:r>
              <w:rPr>
                <w:spacing w:val="8"/>
              </w:rPr>
              <w:t>2.指导医师参与病例准备，并对病例资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料熟悉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91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7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2" w:lineRule="auto"/>
              <w:ind w:left="189" w:right="194" w:firstLine="30"/>
            </w:pPr>
            <w:r>
              <w:rPr>
                <w:spacing w:val="7"/>
              </w:rPr>
              <w:t>晨报过程</w:t>
            </w:r>
            <w:r>
              <w:t xml:space="preserve"> </w:t>
            </w:r>
            <w:r>
              <w:rPr>
                <w:spacing w:val="3"/>
              </w:rPr>
              <w:t>（60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分）</w:t>
            </w:r>
          </w:p>
        </w:tc>
        <w:tc>
          <w:tcPr>
            <w:tcW w:w="3820" w:type="dxa"/>
            <w:vAlign w:val="top"/>
          </w:tcPr>
          <w:p>
            <w:pPr>
              <w:pStyle w:val="8"/>
              <w:spacing w:before="80" w:line="225" w:lineRule="auto"/>
              <w:ind w:left="121"/>
            </w:pPr>
            <w:r>
              <w:rPr>
                <w:spacing w:val="7"/>
              </w:rPr>
              <w:t>1.列出患者的基本信息及主诉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11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>
            <w:pPr>
              <w:pStyle w:val="8"/>
              <w:spacing w:before="81" w:line="280" w:lineRule="auto"/>
              <w:ind w:left="313" w:right="141" w:hanging="197"/>
            </w:pPr>
            <w:r>
              <w:rPr>
                <w:spacing w:val="8"/>
              </w:rPr>
              <w:t>2.诊断假设采用系统回顾的方式进行列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举，并列举充分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94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>
            <w:pPr>
              <w:pStyle w:val="8"/>
              <w:spacing w:before="81" w:line="281" w:lineRule="auto"/>
              <w:ind w:left="318" w:right="193" w:hanging="194"/>
            </w:pPr>
            <w:r>
              <w:rPr>
                <w:spacing w:val="5"/>
              </w:rPr>
              <w:t>3.引导住院医师进行病史的补充询问，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缩小鉴别诊断范围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95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>
            <w:pPr>
              <w:pStyle w:val="8"/>
              <w:spacing w:before="82" w:line="300" w:lineRule="auto"/>
              <w:ind w:left="320" w:right="102" w:hanging="205"/>
            </w:pPr>
            <w:r>
              <w:rPr>
                <w:spacing w:val="8"/>
              </w:rPr>
              <w:t xml:space="preserve">4.引导住院医师进行查体信息的有序询 </w:t>
            </w:r>
            <w:r>
              <w:rPr>
                <w:spacing w:val="6"/>
              </w:rPr>
              <w:t>问（必须包含生命体征</w:t>
            </w:r>
            <w:r>
              <w:rPr>
                <w:spacing w:val="-53"/>
              </w:rPr>
              <w:t>），</w:t>
            </w:r>
            <w:r>
              <w:rPr>
                <w:spacing w:val="6"/>
              </w:rPr>
              <w:t>进一步缩小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鉴别诊断范围</w:t>
            </w:r>
          </w:p>
        </w:tc>
        <w:tc>
          <w:tcPr>
            <w:tcW w:w="850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>
            <w:pPr>
              <w:pStyle w:val="8"/>
              <w:spacing w:before="86" w:line="300" w:lineRule="auto"/>
              <w:ind w:left="316" w:right="141" w:hanging="198"/>
            </w:pPr>
            <w:r>
              <w:rPr>
                <w:spacing w:val="8"/>
              </w:rPr>
              <w:t>5.引导住院医师提出有针对性的检验和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影像等辅助检查需求、分析获得的检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查结果、提出见解</w:t>
            </w:r>
          </w:p>
        </w:tc>
        <w:tc>
          <w:tcPr>
            <w:tcW w:w="850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>
            <w:pPr>
              <w:pStyle w:val="8"/>
              <w:spacing w:before="84" w:line="301" w:lineRule="auto"/>
              <w:ind w:left="318" w:right="143" w:hanging="201"/>
            </w:pPr>
            <w:r>
              <w:rPr>
                <w:spacing w:val="8"/>
              </w:rPr>
              <w:t>6.引导住院医师进行病例特点小结，梳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理可能存在的疾病和健康问题。过程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中注意重点和轻重缓急</w:t>
            </w:r>
          </w:p>
        </w:tc>
        <w:tc>
          <w:tcPr>
            <w:tcW w:w="850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>
            <w:pPr>
              <w:pStyle w:val="8"/>
              <w:spacing w:before="86" w:line="282" w:lineRule="auto"/>
              <w:ind w:left="327" w:right="141" w:hanging="210"/>
            </w:pPr>
            <w:r>
              <w:rPr>
                <w:spacing w:val="8"/>
              </w:rPr>
              <w:t>7.引导住院医师对病情进行评估，制订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治疗计划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98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>
            <w:pPr>
              <w:pStyle w:val="8"/>
              <w:spacing w:before="86" w:line="224" w:lineRule="auto"/>
              <w:ind w:left="117"/>
            </w:pPr>
            <w:r>
              <w:rPr>
                <w:spacing w:val="8"/>
              </w:rPr>
              <w:t>8.报告医师汇报完整病例诊治经过，简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116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80" w:lineRule="exact"/>
        <w:rPr>
          <w:sz w:val="15"/>
        </w:rPr>
      </w:pPr>
    </w:p>
    <w:p>
      <w:pPr>
        <w:spacing w:line="180" w:lineRule="exact"/>
        <w:rPr>
          <w:sz w:val="15"/>
          <w:szCs w:val="15"/>
        </w:rPr>
        <w:sectPr>
          <w:headerReference r:id="rId5" w:type="default"/>
          <w:footerReference r:id="rId6" w:type="default"/>
          <w:pgSz w:w="11906" w:h="16839"/>
          <w:pgMar w:top="1118" w:right="1785" w:bottom="1378" w:left="1785" w:header="878" w:footer="1212" w:gutter="0"/>
          <w:cols w:space="720" w:num="1"/>
        </w:sectPr>
      </w:pPr>
    </w:p>
    <w:p>
      <w:pPr>
        <w:spacing w:before="80"/>
      </w:pPr>
    </w:p>
    <w:tbl>
      <w:tblPr>
        <w:tblStyle w:val="7"/>
        <w:tblW w:w="8288" w:type="dxa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3820"/>
        <w:gridCol w:w="850"/>
        <w:gridCol w:w="849"/>
        <w:gridCol w:w="1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7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>
            <w:pPr>
              <w:pStyle w:val="8"/>
              <w:spacing w:before="83" w:line="223" w:lineRule="auto"/>
              <w:ind w:left="323"/>
            </w:pPr>
            <w:r>
              <w:rPr>
                <w:spacing w:val="7"/>
              </w:rPr>
              <w:t>要复习文献资料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>
            <w:pPr>
              <w:pStyle w:val="8"/>
              <w:spacing w:before="76" w:line="281" w:lineRule="auto"/>
              <w:ind w:left="327" w:right="141" w:hanging="210"/>
            </w:pPr>
            <w:r>
              <w:rPr>
                <w:spacing w:val="8"/>
              </w:rPr>
              <w:t>9.指导医师对病例及讨论过程进行点评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与总结，并回答住院医师提问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88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>
            <w:pPr>
              <w:pStyle w:val="8"/>
              <w:spacing w:before="77" w:line="281" w:lineRule="auto"/>
              <w:ind w:left="311" w:right="102" w:hanging="190"/>
            </w:pPr>
            <w:r>
              <w:rPr>
                <w:spacing w:val="4"/>
              </w:rPr>
              <w:t>10.主持人态度认真，仪表端正，行为得</w:t>
            </w:r>
            <w:r>
              <w:rPr>
                <w:spacing w:val="9"/>
              </w:rPr>
              <w:t xml:space="preserve"> 体，着装大方，谈吐文雅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89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>
            <w:pPr>
              <w:pStyle w:val="8"/>
              <w:spacing w:before="79" w:line="301" w:lineRule="auto"/>
              <w:ind w:left="319" w:right="105" w:hanging="198"/>
            </w:pPr>
            <w:r>
              <w:rPr>
                <w:spacing w:val="4"/>
              </w:rPr>
              <w:t>11.指导医师态度认真，仪表端正，行为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得体，着装大方，谈吐文雅（指导医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师担任主持人时，重复上一项赋分）</w:t>
            </w:r>
          </w:p>
        </w:tc>
        <w:tc>
          <w:tcPr>
            <w:tcW w:w="850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>
            <w:pPr>
              <w:pStyle w:val="8"/>
              <w:spacing w:before="80" w:line="300" w:lineRule="auto"/>
              <w:ind w:left="321" w:right="143" w:hanging="200"/>
            </w:pPr>
            <w:r>
              <w:rPr>
                <w:spacing w:val="7"/>
              </w:rPr>
              <w:t xml:space="preserve">12.主持人及指导医师能把控现场氛围  </w:t>
            </w:r>
            <w:r>
              <w:rPr>
                <w:spacing w:val="9"/>
              </w:rPr>
              <w:t>和教学节奏，能运用技巧调动住院医</w:t>
            </w:r>
            <w:r>
              <w:t xml:space="preserve"> </w:t>
            </w:r>
            <w:r>
              <w:rPr>
                <w:spacing w:val="7"/>
              </w:rPr>
              <w:t>师积极参与</w:t>
            </w:r>
          </w:p>
        </w:tc>
        <w:tc>
          <w:tcPr>
            <w:tcW w:w="850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7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3" w:lineRule="auto"/>
              <w:ind w:left="189" w:right="194" w:firstLine="43"/>
            </w:pPr>
            <w:r>
              <w:rPr>
                <w:spacing w:val="3"/>
              </w:rPr>
              <w:t>总体印象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（25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分）</w:t>
            </w:r>
          </w:p>
        </w:tc>
        <w:tc>
          <w:tcPr>
            <w:tcW w:w="3820" w:type="dxa"/>
            <w:vAlign w:val="top"/>
          </w:tcPr>
          <w:p>
            <w:pPr>
              <w:pStyle w:val="8"/>
              <w:spacing w:before="82" w:line="280" w:lineRule="auto"/>
              <w:ind w:left="315" w:right="249" w:hanging="194"/>
            </w:pPr>
            <w:r>
              <w:rPr>
                <w:spacing w:val="7"/>
              </w:rPr>
              <w:t>1. 有助于拓展住院医师临床诊断与鉴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别诊断思维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94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>
            <w:pPr>
              <w:pStyle w:val="8"/>
              <w:spacing w:before="82" w:line="300" w:lineRule="auto"/>
              <w:ind w:left="316" w:right="143" w:hanging="200"/>
            </w:pPr>
            <w:r>
              <w:rPr>
                <w:spacing w:val="8"/>
              </w:rPr>
              <w:t>2. 有助于加强住院医师有针对性的问</w:t>
            </w:r>
            <w:r>
              <w:t xml:space="preserve">  </w:t>
            </w:r>
            <w:r>
              <w:rPr>
                <w:spacing w:val="9"/>
              </w:rPr>
              <w:t>诊查体、全面分析病情和合理制订诊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治方案等临床实践能力</w:t>
            </w:r>
          </w:p>
        </w:tc>
        <w:tc>
          <w:tcPr>
            <w:tcW w:w="850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>
            <w:pPr>
              <w:pStyle w:val="8"/>
              <w:spacing w:before="81" w:line="301" w:lineRule="auto"/>
              <w:ind w:left="318" w:right="143" w:hanging="194"/>
            </w:pPr>
            <w:r>
              <w:rPr>
                <w:spacing w:val="7"/>
              </w:rPr>
              <w:t>3.内容及形式充实，重点突出，时间安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排合理，培训对象能掌握或理解大部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分晨报内容</w:t>
            </w:r>
          </w:p>
        </w:tc>
        <w:tc>
          <w:tcPr>
            <w:tcW w:w="850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>
            <w:pPr>
              <w:pStyle w:val="8"/>
              <w:spacing w:before="83" w:line="282" w:lineRule="auto"/>
              <w:ind w:left="324" w:right="143" w:hanging="209"/>
            </w:pPr>
            <w:r>
              <w:rPr>
                <w:spacing w:val="8"/>
              </w:rPr>
              <w:t>4.晨报步骤基本完整、过程流畅，达到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预期效果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94" w:line="187" w:lineRule="auto"/>
              <w:ind w:left="337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83" w:line="283" w:lineRule="auto"/>
              <w:ind w:left="242" w:right="216" w:hanging="6"/>
            </w:pPr>
            <w:r>
              <w:rPr>
                <w:spacing w:val="3"/>
              </w:rPr>
              <w:t>隐私保护</w:t>
            </w:r>
            <w:r>
              <w:t xml:space="preserve"> </w:t>
            </w:r>
            <w:r>
              <w:rPr>
                <w:spacing w:val="3"/>
              </w:rPr>
              <w:t>（5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分）</w:t>
            </w:r>
          </w:p>
        </w:tc>
        <w:tc>
          <w:tcPr>
            <w:tcW w:w="3820" w:type="dxa"/>
            <w:vAlign w:val="top"/>
          </w:tcPr>
          <w:p>
            <w:pPr>
              <w:pStyle w:val="8"/>
              <w:spacing w:before="266" w:line="224" w:lineRule="auto"/>
              <w:ind w:left="105"/>
            </w:pPr>
            <w:r>
              <w:rPr>
                <w:spacing w:val="9"/>
              </w:rPr>
              <w:t>保护患者隐私信息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96" w:line="184" w:lineRule="auto"/>
              <w:ind w:left="388"/>
            </w:pPr>
            <w:r>
              <w:t>5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84" w:line="283" w:lineRule="auto"/>
              <w:ind w:left="189" w:right="194" w:firstLine="135"/>
            </w:pPr>
            <w:r>
              <w:rPr>
                <w:spacing w:val="6"/>
              </w:rPr>
              <w:t>加分项</w:t>
            </w:r>
            <w:r>
              <w:t xml:space="preserve">  </w:t>
            </w:r>
            <w:r>
              <w:rPr>
                <w:spacing w:val="3"/>
              </w:rPr>
              <w:t>（10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分）</w:t>
            </w:r>
          </w:p>
        </w:tc>
        <w:tc>
          <w:tcPr>
            <w:tcW w:w="3820" w:type="dxa"/>
            <w:vAlign w:val="top"/>
          </w:tcPr>
          <w:p>
            <w:pPr>
              <w:pStyle w:val="8"/>
              <w:spacing w:before="85" w:line="282" w:lineRule="auto"/>
              <w:ind w:left="325" w:right="141" w:hanging="218"/>
            </w:pPr>
            <w:r>
              <w:rPr>
                <w:spacing w:val="9"/>
              </w:rPr>
              <w:t>教学活动配备交叉学科的两位或多位指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导医师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94" w:line="187" w:lineRule="auto"/>
              <w:ind w:left="337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6" w:hRule="atLeast"/>
        </w:trPr>
        <w:tc>
          <w:tcPr>
            <w:tcW w:w="5096" w:type="dxa"/>
            <w:gridSpan w:val="2"/>
            <w:vAlign w:val="top"/>
          </w:tcPr>
          <w:p>
            <w:pPr>
              <w:pStyle w:val="8"/>
              <w:spacing w:before="271" w:line="227" w:lineRule="auto"/>
              <w:ind w:left="2355"/>
            </w:pPr>
            <w:r>
              <w:rPr>
                <w:spacing w:val="-3"/>
              </w:rPr>
              <w:t>总分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before="298" w:line="187" w:lineRule="auto"/>
              <w:ind w:left="285"/>
            </w:pPr>
            <w:r>
              <w:rPr>
                <w:spacing w:val="-2"/>
              </w:rPr>
              <w:t>110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378" w:lineRule="auto"/>
      </w:pPr>
    </w:p>
    <w:p>
      <w:pPr>
        <w:spacing w:before="65" w:line="225" w:lineRule="auto"/>
        <w:ind w:left="2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9"/>
          <w:sz w:val="20"/>
          <w:szCs w:val="20"/>
        </w:rPr>
        <w:t>相关意见或建议：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                                                          </w:t>
      </w:r>
    </w:p>
    <w:p>
      <w:pPr>
        <w:pStyle w:val="2"/>
        <w:tabs>
          <w:tab w:val="left" w:pos="8317"/>
        </w:tabs>
        <w:spacing w:before="142" w:line="241" w:lineRule="exact"/>
        <w:ind w:left="16"/>
      </w:pPr>
      <w:r>
        <w:rPr>
          <w:u w:val="single" w:color="auto"/>
        </w:rPr>
        <w:tab/>
      </w:r>
    </w:p>
    <w:p>
      <w:pPr>
        <w:pStyle w:val="2"/>
        <w:tabs>
          <w:tab w:val="left" w:pos="8317"/>
        </w:tabs>
        <w:spacing w:before="126" w:line="241" w:lineRule="exact"/>
        <w:ind w:left="16"/>
      </w:pPr>
      <w:r>
        <w:rPr>
          <w:u w:val="single" w:color="auto"/>
        </w:rPr>
        <w:tab/>
      </w:r>
    </w:p>
    <w:p>
      <w:pPr>
        <w:pStyle w:val="2"/>
        <w:tabs>
          <w:tab w:val="left" w:pos="8317"/>
        </w:tabs>
        <w:spacing w:before="125" w:line="242" w:lineRule="exact"/>
        <w:ind w:left="16"/>
      </w:pPr>
      <w:r>
        <w:rPr>
          <w:u w:val="single" w:color="auto"/>
        </w:rPr>
        <w:tab/>
      </w:r>
    </w:p>
    <w:p>
      <w:pPr>
        <w:pStyle w:val="2"/>
        <w:tabs>
          <w:tab w:val="left" w:pos="8317"/>
        </w:tabs>
        <w:spacing w:before="127" w:line="242" w:lineRule="exact"/>
        <w:ind w:left="16"/>
      </w:pPr>
      <w:r>
        <w:rPr>
          <w:u w:val="single" w:color="auto"/>
        </w:rPr>
        <w:tab/>
      </w:r>
    </w:p>
    <w:p>
      <w:pPr>
        <w:spacing w:before="79" w:line="225" w:lineRule="auto"/>
        <w:ind w:left="2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评价人：                            评价日期：</w:t>
      </w:r>
      <w:r>
        <w:rPr>
          <w:rFonts w:ascii="仿宋" w:hAnsi="仿宋" w:eastAsia="仿宋" w:cs="仿宋"/>
          <w:spacing w:val="10"/>
          <w:sz w:val="20"/>
          <w:szCs w:val="20"/>
        </w:rPr>
        <w:t xml:space="preserve">       </w:t>
      </w:r>
      <w:r>
        <w:rPr>
          <w:rFonts w:ascii="仿宋" w:hAnsi="仿宋" w:eastAsia="仿宋" w:cs="仿宋"/>
          <w:spacing w:val="2"/>
          <w:sz w:val="20"/>
          <w:szCs w:val="20"/>
        </w:rPr>
        <w:t>年</w:t>
      </w:r>
      <w:r>
        <w:rPr>
          <w:rFonts w:ascii="仿宋" w:hAnsi="仿宋" w:eastAsia="仿宋" w:cs="仿宋"/>
          <w:spacing w:val="8"/>
          <w:sz w:val="20"/>
          <w:szCs w:val="20"/>
        </w:rPr>
        <w:t xml:space="preserve">      </w:t>
      </w:r>
      <w:r>
        <w:rPr>
          <w:rFonts w:ascii="仿宋" w:hAnsi="仿宋" w:eastAsia="仿宋" w:cs="仿宋"/>
          <w:spacing w:val="2"/>
          <w:sz w:val="20"/>
          <w:szCs w:val="20"/>
        </w:rPr>
        <w:t>月</w:t>
      </w:r>
      <w:r>
        <w:rPr>
          <w:rFonts w:ascii="仿宋" w:hAnsi="仿宋" w:eastAsia="仿宋" w:cs="仿宋"/>
          <w:spacing w:val="13"/>
          <w:sz w:val="20"/>
          <w:szCs w:val="20"/>
        </w:rPr>
        <w:t xml:space="preserve">      </w:t>
      </w:r>
      <w:r>
        <w:rPr>
          <w:rFonts w:ascii="仿宋" w:hAnsi="仿宋" w:eastAsia="仿宋" w:cs="仿宋"/>
          <w:spacing w:val="2"/>
          <w:sz w:val="20"/>
          <w:szCs w:val="20"/>
        </w:rPr>
        <w:t>日</w:t>
      </w:r>
    </w:p>
    <w:p>
      <w:pPr>
        <w:pStyle w:val="2"/>
        <w:spacing w:line="355" w:lineRule="auto"/>
      </w:pPr>
    </w:p>
    <w:sectPr>
      <w:footerReference r:id="rId7" w:type="default"/>
      <w:pgSz w:w="11906" w:h="16839"/>
      <w:pgMar w:top="1118" w:right="1785" w:bottom="1378" w:left="1785" w:header="878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4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4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djYWQ0ZDYxNjg0NmEzMTBhNjYyM2E5NDY4MmQxZGEifQ=="/>
  </w:docVars>
  <w:rsids>
    <w:rsidRoot w:val="00000000"/>
    <w:rsid w:val="0AB37C41"/>
    <w:rsid w:val="134D5583"/>
    <w:rsid w:val="217722B0"/>
    <w:rsid w:val="43663758"/>
    <w:rsid w:val="68863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3033</Words>
  <Characters>3108</Characters>
  <TotalTime>5</TotalTime>
  <ScaleCrop>false</ScaleCrop>
  <LinksUpToDate>false</LinksUpToDate>
  <CharactersWithSpaces>3474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2022-07-01T15:50:00Z</dcterms:created>
  <dc:creator>mzzj</dc:creator>
  <cp:lastModifiedBy>赵鸣瑀</cp:lastModifiedBy>
  <dcterms:modified xsi:type="dcterms:W3CDTF">2024-05-29T06:59:33Z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2024-05-22T08:34:27Z</vt:filetime>
  </property>
  <property fmtid="{D5CDD505-2E9C-101B-9397-08002B2CF9AE}" pid="4" name="KSOProductBuildVer">
    <vt:lpwstr>2052-12.1.0.16929</vt:lpwstr>
  </property>
  <property fmtid="{D5CDD505-2E9C-101B-9397-08002B2CF9AE}" pid="5" name="ICV">
    <vt:lpwstr>A9798A9F0C2B4B3C83909AAF67B51ECD_13</vt:lpwstr>
  </property>
</Properties>
</file>